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83487" w14:textId="77777777" w:rsidR="006D09A3" w:rsidRDefault="006D09A3"/>
    <w:tbl>
      <w:tblPr>
        <w:tblStyle w:val="a"/>
        <w:tblW w:w="9360" w:type="dxa"/>
        <w:tblInd w:w="-118" w:type="dxa"/>
        <w:tblLayout w:type="fixed"/>
        <w:tblLook w:val="0000" w:firstRow="0" w:lastRow="0" w:firstColumn="0" w:lastColumn="0" w:noHBand="0" w:noVBand="0"/>
      </w:tblPr>
      <w:tblGrid>
        <w:gridCol w:w="9360"/>
      </w:tblGrid>
      <w:tr w:rsidR="006D09A3" w14:paraId="0D58DF80" w14:textId="77777777">
        <w:tc>
          <w:tcPr>
            <w:tcW w:w="9360" w:type="dxa"/>
            <w:tcBorders>
              <w:top w:val="single" w:sz="8" w:space="0" w:color="000001"/>
              <w:bottom w:val="single" w:sz="8" w:space="0" w:color="000001"/>
            </w:tcBorders>
            <w:shd w:val="clear" w:color="auto" w:fill="FFFFFF"/>
          </w:tcPr>
          <w:p w14:paraId="1E83C0EA" w14:textId="77777777" w:rsidR="006D09A3" w:rsidRDefault="00000000">
            <w:pPr>
              <w:widowControl w:val="0"/>
              <w:jc w:val="both"/>
            </w:pPr>
            <w:r>
              <w:rPr>
                <w:rFonts w:ascii="Calibri" w:eastAsia="Calibri" w:hAnsi="Calibri" w:cs="Calibri"/>
              </w:rPr>
              <w:t>Les travailleurs de première ligne recrutés localement, ayant peu ou pas d'expérience et/ou de formation en protection de l'enfance en contexte humanitaire. Ces participants peuvent ou non avoir terminé leurs études secondaires  et auront des niveaux d'alphabétisation et d'expertise variables.</w:t>
            </w:r>
          </w:p>
          <w:p w14:paraId="3F8C8862" w14:textId="77777777" w:rsidR="006D09A3" w:rsidRDefault="006D09A3">
            <w:pPr>
              <w:widowControl w:val="0"/>
              <w:jc w:val="both"/>
              <w:rPr>
                <w:rFonts w:ascii="Calibri" w:eastAsia="Calibri" w:hAnsi="Calibri" w:cs="Calibri"/>
              </w:rPr>
            </w:pPr>
          </w:p>
        </w:tc>
      </w:tr>
      <w:tr w:rsidR="006D09A3" w14:paraId="42EB6731" w14:textId="77777777">
        <w:tc>
          <w:tcPr>
            <w:tcW w:w="9360" w:type="dxa"/>
            <w:tcBorders>
              <w:top w:val="single" w:sz="8" w:space="0" w:color="000001"/>
              <w:bottom w:val="single" w:sz="8" w:space="0" w:color="000001"/>
            </w:tcBorders>
            <w:shd w:val="clear" w:color="auto" w:fill="FFFFFF"/>
          </w:tcPr>
          <w:p w14:paraId="2582DCBC" w14:textId="77777777" w:rsidR="006D09A3" w:rsidRDefault="00000000">
            <w:pPr>
              <w:widowControl w:val="0"/>
              <w:jc w:val="both"/>
              <w:rPr>
                <w:rFonts w:ascii="Calibri" w:eastAsia="Calibri" w:hAnsi="Calibri" w:cs="Calibri"/>
              </w:rPr>
            </w:pPr>
            <w:r>
              <w:rPr>
                <w:rFonts w:ascii="Calibri" w:eastAsia="Calibri" w:hAnsi="Calibri" w:cs="Calibri"/>
              </w:rPr>
              <w:t>Les travailleurs sociaux, qui comprennent à la fois des employés nouveaux et expérimentés. Les travailleurs sociaux sont chargés de mettre en œuvre de la Gestion de Cas ainsi que des activités de Recherche et de Réunification des Familles. Ils doivent coordonner leur travail avec les autres membres du  personnel et parties prenantes impliqués dans la protection, la recherche des familles et la réunification, y compris le personnel chargé de la mobilisation communautaire en protection de l'enfance.</w:t>
            </w:r>
          </w:p>
          <w:p w14:paraId="285AEAB8" w14:textId="77777777" w:rsidR="006D09A3" w:rsidRDefault="006D09A3">
            <w:pPr>
              <w:widowControl w:val="0"/>
              <w:jc w:val="both"/>
              <w:rPr>
                <w:rFonts w:ascii="Calibri" w:eastAsia="Calibri" w:hAnsi="Calibri" w:cs="Calibri"/>
              </w:rPr>
            </w:pPr>
          </w:p>
        </w:tc>
      </w:tr>
      <w:tr w:rsidR="006D09A3" w14:paraId="37ACC8BE" w14:textId="77777777">
        <w:tc>
          <w:tcPr>
            <w:tcW w:w="9360" w:type="dxa"/>
            <w:tcBorders>
              <w:top w:val="single" w:sz="8" w:space="0" w:color="000001"/>
              <w:bottom w:val="single" w:sz="8" w:space="0" w:color="000001"/>
            </w:tcBorders>
            <w:shd w:val="clear" w:color="auto" w:fill="FFFFFF"/>
          </w:tcPr>
          <w:p w14:paraId="5BE28E2D" w14:textId="77777777" w:rsidR="006D09A3" w:rsidRDefault="00000000">
            <w:pPr>
              <w:widowControl w:val="0"/>
              <w:jc w:val="both"/>
              <w:rPr>
                <w:rFonts w:ascii="Calibri" w:eastAsia="Calibri" w:hAnsi="Calibri" w:cs="Calibri"/>
              </w:rPr>
            </w:pPr>
            <w:r>
              <w:rPr>
                <w:rFonts w:ascii="Calibri" w:eastAsia="Calibri" w:hAnsi="Calibri" w:cs="Calibri"/>
              </w:rPr>
              <w:t>Les responsables de terrain qui supervisent les programmes au niveau national. Ils ont une responsabilité hiérarchique vis-à-vis des conseillers en Protection de l'Enfance, mais n'ont généralement pas eux-mêmes de formation technique en PE.</w:t>
            </w:r>
          </w:p>
          <w:p w14:paraId="1D754A36" w14:textId="77777777" w:rsidR="006D09A3" w:rsidRDefault="006D09A3">
            <w:pPr>
              <w:widowControl w:val="0"/>
              <w:jc w:val="both"/>
              <w:rPr>
                <w:rFonts w:ascii="Calibri" w:eastAsia="Calibri" w:hAnsi="Calibri" w:cs="Calibri"/>
              </w:rPr>
            </w:pPr>
          </w:p>
        </w:tc>
      </w:tr>
      <w:tr w:rsidR="006D09A3" w14:paraId="5F8EF7E3" w14:textId="77777777">
        <w:tc>
          <w:tcPr>
            <w:tcW w:w="9360" w:type="dxa"/>
            <w:tcBorders>
              <w:top w:val="single" w:sz="8" w:space="0" w:color="000001"/>
              <w:bottom w:val="single" w:sz="8" w:space="0" w:color="000001"/>
            </w:tcBorders>
            <w:shd w:val="clear" w:color="auto" w:fill="FFFFFF"/>
          </w:tcPr>
          <w:p w14:paraId="7A9DF3AB" w14:textId="77777777" w:rsidR="006D09A3" w:rsidRDefault="00000000">
            <w:pPr>
              <w:widowControl w:val="0"/>
              <w:jc w:val="both"/>
              <w:rPr>
                <w:rFonts w:ascii="Calibri" w:eastAsia="Calibri" w:hAnsi="Calibri" w:cs="Calibri"/>
              </w:rPr>
            </w:pPr>
            <w:r>
              <w:rPr>
                <w:rFonts w:ascii="Calibri" w:eastAsia="Calibri" w:hAnsi="Calibri" w:cs="Calibri"/>
              </w:rPr>
              <w:t xml:space="preserve">Les responsables gouvernementaux chargés de la préparation et la coordination des situations d'urgence. Ces participants ont une bonne compréhension de l'architecture humanitaire et du contexte local mais s peu susceptibles d’avoir des connaissances sur les risques et  les stratégies spécifiques à la protection de l'enfance en contextes humanitaires </w:t>
            </w:r>
          </w:p>
          <w:p w14:paraId="1899CE60" w14:textId="77777777" w:rsidR="006D09A3" w:rsidRDefault="006D09A3">
            <w:pPr>
              <w:widowControl w:val="0"/>
              <w:jc w:val="both"/>
              <w:rPr>
                <w:rFonts w:ascii="Calibri" w:eastAsia="Calibri" w:hAnsi="Calibri" w:cs="Calibri"/>
              </w:rPr>
            </w:pPr>
          </w:p>
        </w:tc>
      </w:tr>
    </w:tbl>
    <w:p w14:paraId="0AC8B674" w14:textId="77777777" w:rsidR="006D09A3" w:rsidRDefault="006D09A3"/>
    <w:sectPr w:rsidR="006D09A3">
      <w:headerReference w:type="default" r:id="rId7"/>
      <w:pgSz w:w="12240" w:h="15840"/>
      <w:pgMar w:top="1440" w:right="1440" w:bottom="1440" w:left="1440" w:header="7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D2B6E" w14:textId="77777777" w:rsidR="0039617D" w:rsidRDefault="0039617D">
      <w:pPr>
        <w:spacing w:line="240" w:lineRule="auto"/>
      </w:pPr>
      <w:r>
        <w:separator/>
      </w:r>
    </w:p>
  </w:endnote>
  <w:endnote w:type="continuationSeparator" w:id="0">
    <w:p w14:paraId="6B262094" w14:textId="77777777" w:rsidR="0039617D" w:rsidRDefault="00396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296C9" w14:textId="77777777" w:rsidR="0039617D" w:rsidRDefault="0039617D">
      <w:pPr>
        <w:spacing w:line="240" w:lineRule="auto"/>
      </w:pPr>
      <w:r>
        <w:separator/>
      </w:r>
    </w:p>
  </w:footnote>
  <w:footnote w:type="continuationSeparator" w:id="0">
    <w:p w14:paraId="07F6FD95" w14:textId="77777777" w:rsidR="0039617D" w:rsidRDefault="003961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57539" w14:textId="4AB976BE" w:rsidR="006D09A3" w:rsidRDefault="00A65F30">
    <w:pPr>
      <w:pBdr>
        <w:top w:val="nil"/>
        <w:left w:val="nil"/>
        <w:bottom w:val="nil"/>
        <w:right w:val="nil"/>
        <w:between w:val="nil"/>
      </w:pBdr>
      <w:tabs>
        <w:tab w:val="center" w:pos="4680"/>
        <w:tab w:val="right" w:pos="9360"/>
      </w:tabs>
      <w:spacing w:line="240" w:lineRule="auto"/>
      <w:rPr>
        <w:rFonts w:ascii="Calibri" w:eastAsia="Calibri" w:hAnsi="Calibri" w:cs="Calibri"/>
        <w:color w:val="000000"/>
        <w:sz w:val="20"/>
        <w:szCs w:val="20"/>
      </w:rPr>
    </w:pPr>
    <w:r>
      <w:rPr>
        <w:rFonts w:ascii="Calibri" w:eastAsia="Calibri" w:hAnsi="Calibri" w:cs="Calibri"/>
        <w:noProof/>
        <w:color w:val="000000"/>
        <w:sz w:val="20"/>
        <w:szCs w:val="20"/>
      </w:rPr>
      <w:drawing>
        <wp:anchor distT="0" distB="0" distL="114300" distR="114300" simplePos="0" relativeHeight="251659264" behindDoc="1" locked="0" layoutInCell="1" allowOverlap="1" wp14:anchorId="78A01F92" wp14:editId="44948312">
          <wp:simplePos x="0" y="0"/>
          <wp:positionH relativeFrom="column">
            <wp:posOffset>4680040</wp:posOffset>
          </wp:positionH>
          <wp:positionV relativeFrom="paragraph">
            <wp:posOffset>-417776</wp:posOffset>
          </wp:positionV>
          <wp:extent cx="2176903" cy="826851"/>
          <wp:effectExtent l="0" t="0" r="0" b="0"/>
          <wp:wrapNone/>
          <wp:docPr id="1237841088"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841088"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176903" cy="826851"/>
                  </a:xfrm>
                  <a:prstGeom prst="rect">
                    <a:avLst/>
                  </a:prstGeom>
                </pic:spPr>
              </pic:pic>
            </a:graphicData>
          </a:graphic>
          <wp14:sizeRelH relativeFrom="page">
            <wp14:pctWidth>0</wp14:pctWidth>
          </wp14:sizeRelH>
          <wp14:sizeRelV relativeFrom="page">
            <wp14:pctHeight>0</wp14:pctHeight>
          </wp14:sizeRelV>
        </wp:anchor>
      </w:drawing>
    </w:r>
    <w:r w:rsidR="00000000">
      <w:rPr>
        <w:rFonts w:ascii="Calibri" w:eastAsia="Calibri" w:hAnsi="Calibri" w:cs="Calibri"/>
        <w:sz w:val="20"/>
        <w:szCs w:val="20"/>
      </w:rPr>
      <w:t xml:space="preserve">Formation des formateurs sur les </w:t>
    </w:r>
    <w:r w:rsidR="00000000">
      <w:rPr>
        <w:rFonts w:ascii="Calibri" w:eastAsia="Calibri" w:hAnsi="Calibri" w:cs="Calibri"/>
        <w:color w:val="000000"/>
        <w:sz w:val="20"/>
        <w:szCs w:val="20"/>
      </w:rPr>
      <w:t xml:space="preserve">ENAS </w:t>
    </w:r>
  </w:p>
  <w:p w14:paraId="312EB60B" w14:textId="1F383798" w:rsidR="006D09A3" w:rsidRDefault="00000000">
    <w:pPr>
      <w:pBdr>
        <w:top w:val="nil"/>
        <w:left w:val="nil"/>
        <w:bottom w:val="nil"/>
        <w:right w:val="nil"/>
        <w:between w:val="nil"/>
      </w:pBdr>
      <w:tabs>
        <w:tab w:val="center" w:pos="4680"/>
        <w:tab w:val="right" w:pos="9360"/>
      </w:tabs>
      <w:spacing w:line="240" w:lineRule="auto"/>
      <w:rPr>
        <w:color w:val="000000"/>
      </w:rPr>
    </w:pPr>
    <w:r>
      <w:rPr>
        <w:rFonts w:ascii="Calibri" w:eastAsia="Calibri" w:hAnsi="Calibri" w:cs="Calibri"/>
        <w:color w:val="000000"/>
        <w:sz w:val="20"/>
        <w:szCs w:val="20"/>
      </w:rPr>
      <w:t xml:space="preserve">Module 3.1 – </w:t>
    </w:r>
    <w:bookmarkStart w:id="0" w:name="bookmark=id.x1jp26d2cd1p" w:colFirst="0" w:colLast="0"/>
    <w:bookmarkEnd w:id="0"/>
    <w:r>
      <w:rPr>
        <w:rFonts w:ascii="Calibri" w:eastAsia="Calibri" w:hAnsi="Calibri" w:cs="Calibri"/>
        <w:color w:val="1F1F1F"/>
        <w:sz w:val="20"/>
        <w:szCs w:val="20"/>
      </w:rPr>
      <w:t>Cartes de profil du public cible</w:t>
    </w:r>
  </w:p>
  <w:p w14:paraId="680A8F86" w14:textId="77777777" w:rsidR="006D09A3" w:rsidRDefault="006D09A3">
    <w:pPr>
      <w:pBdr>
        <w:top w:val="nil"/>
        <w:left w:val="nil"/>
        <w:bottom w:val="nil"/>
        <w:right w:val="nil"/>
        <w:between w:val="nil"/>
      </w:pBdr>
      <w:tabs>
        <w:tab w:val="center" w:pos="4680"/>
        <w:tab w:val="right" w:pos="9360"/>
      </w:tabs>
      <w:spacing w:line="240" w:lineRule="auto"/>
      <w:rPr>
        <w:rFonts w:ascii="Calibri" w:eastAsia="Calibri" w:hAnsi="Calibri" w:cs="Calibri"/>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9A3"/>
    <w:rsid w:val="0039617D"/>
    <w:rsid w:val="005A0368"/>
    <w:rsid w:val="006D09A3"/>
    <w:rsid w:val="00A65F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8CCF4A5"/>
  <w15:docId w15:val="{904C1B34-359F-FF46-AB42-8E7F2A640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b/>
      <w:sz w:val="52"/>
      <w:szCs w:val="52"/>
    </w:rPr>
  </w:style>
  <w:style w:type="character" w:customStyle="1" w:styleId="HeaderChar">
    <w:name w:val="Header Char"/>
    <w:basedOn w:val="DefaultParagraphFont"/>
    <w:qFormat/>
  </w:style>
  <w:style w:type="character" w:customStyle="1" w:styleId="FooterChar">
    <w:name w:val="Footer Char"/>
    <w:basedOn w:val="DefaultParagraphFont"/>
    <w:qFormat/>
  </w:style>
  <w:style w:type="character" w:customStyle="1" w:styleId="Caratterinotaapidipagina">
    <w:name w:val="Caratteri nota a piè di pagina"/>
    <w:qFormat/>
  </w:style>
  <w:style w:type="character" w:customStyle="1" w:styleId="Caratterinotadichiusura">
    <w:name w:val="Caratteri nota di chiusura"/>
    <w:qFormat/>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Titolo">
    <w:name w:val="Titolo"/>
    <w:basedOn w:val="Normal"/>
    <w:next w:val="BodyText"/>
    <w:qFormat/>
    <w:pPr>
      <w:keepNext/>
      <w:spacing w:before="240" w:after="120"/>
    </w:pPr>
    <w:rPr>
      <w:rFonts w:eastAsia="Microsoft YaHei" w:cs="Lucida Sans"/>
      <w:sz w:val="28"/>
      <w:szCs w:val="28"/>
    </w:rPr>
  </w:style>
  <w:style w:type="paragraph" w:styleId="BodyText">
    <w:name w:val="Body Text"/>
    <w:basedOn w:val="Normal"/>
    <w:pPr>
      <w:spacing w:after="12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ice">
    <w:name w:val="Indice"/>
    <w:basedOn w:val="Normal"/>
    <w:qFormat/>
    <w:pPr>
      <w:suppressLineNumbers/>
    </w:pPr>
    <w:rPr>
      <w:rFonts w:cs="Lucida Sans"/>
    </w:rPr>
  </w:style>
  <w:style w:type="paragraph" w:customStyle="1" w:styleId="Intestazioneepidipagina">
    <w:name w:val="Intestazione e piè di pagina"/>
    <w:basedOn w:val="Normal"/>
    <w:qFormat/>
    <w:pPr>
      <w:suppressLineNumbers/>
      <w:tabs>
        <w:tab w:val="center" w:pos="4819"/>
        <w:tab w:val="right" w:pos="9638"/>
      </w:tabs>
    </w:pPr>
  </w:style>
  <w:style w:type="paragraph" w:styleId="Header">
    <w:name w:val="header"/>
    <w:basedOn w:val="Normal"/>
    <w:pPr>
      <w:suppressLineNumbers/>
      <w:tabs>
        <w:tab w:val="center" w:pos="4680"/>
        <w:tab w:val="right" w:pos="9360"/>
      </w:tabs>
      <w:spacing w:line="240" w:lineRule="auto"/>
    </w:pPr>
  </w:style>
  <w:style w:type="paragraph" w:styleId="Footer">
    <w:name w:val="footer"/>
    <w:basedOn w:val="Normal"/>
    <w:pPr>
      <w:suppressLineNumbers/>
      <w:tabs>
        <w:tab w:val="center" w:pos="4680"/>
        <w:tab w:val="right" w:pos="9360"/>
      </w:tabs>
      <w:spacing w:line="240" w:lineRule="auto"/>
    </w:pPr>
  </w:style>
  <w:style w:type="paragraph" w:customStyle="1" w:styleId="Testopreformattato">
    <w:name w:val="Testo preformattato"/>
    <w:basedOn w:val="Normal"/>
    <w:qFormat/>
    <w:rPr>
      <w:rFonts w:ascii="Courier New" w:eastAsia="Courier New" w:hAnsi="Courier New" w:cs="Courier New"/>
      <w:sz w:val="20"/>
      <w:szCs w:val="20"/>
    </w:rPr>
  </w:style>
  <w:style w:type="paragraph" w:customStyle="1" w:styleId="Contenutotabella">
    <w:name w:val="Contenuto tabella"/>
    <w:basedOn w:val="Normal"/>
    <w:qFormat/>
    <w:pPr>
      <w:suppressLineNumbers/>
    </w:pPr>
  </w:style>
  <w:style w:type="paragraph" w:styleId="Subtitle">
    <w:name w:val="Subtitle"/>
    <w:basedOn w:val="Normal"/>
    <w:next w:val="Normal"/>
    <w:uiPriority w:val="11"/>
    <w:qFormat/>
    <w:pPr>
      <w:keepNext/>
      <w:keepLines/>
      <w:spacing w:after="320"/>
    </w:pPr>
    <w:rPr>
      <w:i/>
      <w:color w:val="666666"/>
      <w:sz w:val="30"/>
      <w:szCs w:val="30"/>
    </w:rPr>
  </w:style>
  <w:style w:type="table" w:customStyle="1" w:styleId="a">
    <w:basedOn w:val="TableNormal0"/>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hR2PWNboZi6GSS+silgefQ6B1g==">CgMxLjAyD2lkLngxanAyNmQyY2QxcDgAciExUl9pZlZJSnk0cTVxX1h5SHBaeERDa3hYWF9tSnZ6QVA=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1191</Characters>
  <Application>Microsoft Office Word</Application>
  <DocSecurity>0</DocSecurity>
  <Lines>21</Lines>
  <Paragraphs>4</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Kyra Loat</cp:lastModifiedBy>
  <cp:revision>2</cp:revision>
  <dcterms:created xsi:type="dcterms:W3CDTF">2023-09-12T17:54:00Z</dcterms:created>
  <dcterms:modified xsi:type="dcterms:W3CDTF">2026-01-14T18:50:00Z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